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5F32" w14:textId="77777777" w:rsidR="00EE16A4" w:rsidRPr="00DA2D85" w:rsidRDefault="00EE16A4" w:rsidP="00EE16A4">
      <w:pPr>
        <w:pStyle w:val="Heading3"/>
        <w:keepNext w:val="0"/>
        <w:keepLines w:val="0"/>
        <w:spacing w:before="280"/>
        <w:rPr>
          <w:b/>
          <w:color w:val="000000"/>
          <w:sz w:val="36"/>
          <w:szCs w:val="36"/>
          <w:shd w:val="clear" w:color="auto" w:fill="FF9900"/>
        </w:rPr>
      </w:pPr>
      <w:r w:rsidRPr="00DA2D85">
        <w:rPr>
          <w:b/>
          <w:color w:val="000000"/>
          <w:sz w:val="36"/>
          <w:szCs w:val="36"/>
          <w:shd w:val="clear" w:color="auto" w:fill="FF9900"/>
        </w:rPr>
        <w:t>Lesson Plan 12 (120 min)</w:t>
      </w:r>
    </w:p>
    <w:p w14:paraId="318BEFC2" w14:textId="77777777" w:rsidR="00EE16A4" w:rsidRPr="00DA2D85" w:rsidRDefault="00EE16A4" w:rsidP="00EE16A4">
      <w:pPr>
        <w:spacing w:before="240"/>
        <w:rPr>
          <w:sz w:val="24"/>
          <w:szCs w:val="24"/>
          <w:lang w:val="en-US"/>
        </w:rPr>
      </w:pPr>
      <w:r w:rsidRPr="00DA2D85">
        <w:rPr>
          <w:b/>
          <w:sz w:val="24"/>
          <w:szCs w:val="24"/>
          <w:lang w:val="en-US"/>
        </w:rPr>
        <w:t xml:space="preserve">Class plan Title: </w:t>
      </w:r>
      <w:r w:rsidRPr="00DA2D85">
        <w:rPr>
          <w:sz w:val="24"/>
          <w:szCs w:val="24"/>
          <w:lang w:val="en-US"/>
        </w:rPr>
        <w:t>Demonstrative Pronouns + Natural Heritage</w:t>
      </w:r>
    </w:p>
    <w:p w14:paraId="6079C336" w14:textId="77777777" w:rsidR="00EE16A4" w:rsidRPr="00DA2D85" w:rsidRDefault="00EE16A4" w:rsidP="00EE16A4">
      <w:pPr>
        <w:spacing w:before="240"/>
        <w:rPr>
          <w:sz w:val="24"/>
          <w:szCs w:val="24"/>
          <w:lang w:val="en-US"/>
        </w:rPr>
      </w:pPr>
      <w:r w:rsidRPr="00DA2D85">
        <w:rPr>
          <w:sz w:val="24"/>
          <w:szCs w:val="24"/>
          <w:lang w:val="en-US"/>
        </w:rPr>
        <w:t xml:space="preserve"> </w:t>
      </w:r>
    </w:p>
    <w:p w14:paraId="3A42D160" w14:textId="77777777" w:rsidR="00EE16A4" w:rsidRPr="00DA2D85" w:rsidRDefault="00EE16A4" w:rsidP="00EE16A4">
      <w:pPr>
        <w:spacing w:before="240"/>
        <w:jc w:val="both"/>
        <w:rPr>
          <w:sz w:val="24"/>
          <w:szCs w:val="24"/>
          <w:lang w:val="en-US"/>
        </w:rPr>
      </w:pPr>
      <w:r w:rsidRPr="00DA2D85">
        <w:rPr>
          <w:b/>
          <w:sz w:val="24"/>
          <w:szCs w:val="24"/>
          <w:lang w:val="en-US"/>
        </w:rPr>
        <w:t xml:space="preserve">Topics: </w:t>
      </w:r>
      <w:r w:rsidRPr="00DA2D85">
        <w:rPr>
          <w:sz w:val="24"/>
          <w:szCs w:val="24"/>
          <w:lang w:val="en-US"/>
        </w:rPr>
        <w:t>Introduction to demonstrative pronouns, English + Heritage (Describe local festivals in short sentences)</w:t>
      </w:r>
    </w:p>
    <w:p w14:paraId="306712CA" w14:textId="77777777" w:rsidR="00EE16A4" w:rsidRPr="00DA2D85" w:rsidRDefault="00EE16A4" w:rsidP="00EE16A4">
      <w:pPr>
        <w:spacing w:before="240"/>
        <w:jc w:val="both"/>
        <w:rPr>
          <w:sz w:val="24"/>
          <w:szCs w:val="24"/>
          <w:lang w:val="en-US"/>
        </w:rPr>
      </w:pPr>
      <w:r w:rsidRPr="00DA2D85">
        <w:rPr>
          <w:sz w:val="24"/>
          <w:szCs w:val="24"/>
          <w:lang w:val="en-US"/>
        </w:rPr>
        <w:t xml:space="preserve"> </w:t>
      </w:r>
    </w:p>
    <w:p w14:paraId="7D488AB9" w14:textId="77777777" w:rsidR="00EE16A4" w:rsidRPr="00DA2D85" w:rsidRDefault="00EE16A4" w:rsidP="00EE16A4">
      <w:pPr>
        <w:spacing w:before="240"/>
        <w:rPr>
          <w:b/>
          <w:sz w:val="24"/>
          <w:szCs w:val="24"/>
          <w:lang w:val="en-US"/>
        </w:rPr>
      </w:pPr>
      <w:r w:rsidRPr="00DA2D85">
        <w:rPr>
          <w:b/>
          <w:sz w:val="24"/>
          <w:szCs w:val="24"/>
          <w:lang w:val="en-US"/>
        </w:rPr>
        <w:t>Objectives:</w:t>
      </w:r>
    </w:p>
    <w:p w14:paraId="62FED603" w14:textId="77777777" w:rsidR="00EE16A4" w:rsidRPr="00DA2D85" w:rsidRDefault="00EE16A4" w:rsidP="00EE16A4">
      <w:pPr>
        <w:spacing w:before="240"/>
        <w:rPr>
          <w:sz w:val="24"/>
          <w:szCs w:val="24"/>
          <w:lang w:val="en-US"/>
        </w:rPr>
      </w:pPr>
      <w:r w:rsidRPr="00DA2D85">
        <w:rPr>
          <w:sz w:val="24"/>
          <w:szCs w:val="24"/>
          <w:lang w:val="en-US"/>
        </w:rPr>
        <w:t>By the end of the lesson, students should be able to:</w:t>
      </w:r>
    </w:p>
    <w:p w14:paraId="65652633" w14:textId="77777777" w:rsidR="00EE16A4" w:rsidRPr="00DA2D85" w:rsidRDefault="00EE16A4" w:rsidP="00EE16A4">
      <w:pPr>
        <w:spacing w:before="240"/>
        <w:rPr>
          <w:sz w:val="24"/>
          <w:szCs w:val="24"/>
          <w:lang w:val="en-US"/>
        </w:rPr>
      </w:pPr>
      <w:r w:rsidRPr="00DA2D85">
        <w:rPr>
          <w:sz w:val="24"/>
          <w:szCs w:val="24"/>
          <w:lang w:val="en-US"/>
        </w:rPr>
        <w:t xml:space="preserve"> </w:t>
      </w:r>
    </w:p>
    <w:p w14:paraId="74776F0E" w14:textId="77777777" w:rsidR="00EE16A4" w:rsidRPr="00DA2D85" w:rsidRDefault="00EE16A4" w:rsidP="00EE16A4">
      <w:pPr>
        <w:ind w:left="10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Understand what demonstrative pronouns and adjectives are</w:t>
      </w:r>
    </w:p>
    <w:p w14:paraId="24EC67F2" w14:textId="77777777" w:rsidR="00EE16A4" w:rsidRPr="00DA2D85" w:rsidRDefault="00EE16A4" w:rsidP="00EE16A4">
      <w:pPr>
        <w:ind w:left="10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Name the four demonstrative pronouns and state their purpose</w:t>
      </w:r>
    </w:p>
    <w:p w14:paraId="1C5C6C22" w14:textId="77777777" w:rsidR="00EE16A4" w:rsidRPr="00DA2D85" w:rsidRDefault="00EE16A4" w:rsidP="00EE16A4">
      <w:pPr>
        <w:ind w:left="10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Differentiate between 'this' and 'that' (singular) and 'these' and 'those' (plural), and when to use them correctly</w:t>
      </w:r>
    </w:p>
    <w:p w14:paraId="20AD1731" w14:textId="77777777" w:rsidR="00EE16A4" w:rsidRPr="00DA2D85" w:rsidRDefault="00EE16A4" w:rsidP="00EE16A4">
      <w:pPr>
        <w:ind w:left="1000" w:hanging="360"/>
        <w:jc w:val="both"/>
        <w:rPr>
          <w:rFonts w:ascii="Times New Roman" w:eastAsia="Times New Roman" w:hAnsi="Times New Roman" w:cs="Times New Roman"/>
          <w:color w:val="262626"/>
          <w:highlight w:val="white"/>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color w:val="262626"/>
          <w:sz w:val="24"/>
          <w:szCs w:val="24"/>
          <w:highlight w:val="white"/>
          <w:lang w:val="en-US"/>
        </w:rPr>
        <w:t xml:space="preserve">Form </w:t>
      </w:r>
      <w:proofErr w:type="gramStart"/>
      <w:r w:rsidRPr="00DA2D85">
        <w:rPr>
          <w:color w:val="262626"/>
          <w:sz w:val="24"/>
          <w:szCs w:val="24"/>
          <w:highlight w:val="white"/>
          <w:lang w:val="en-US"/>
        </w:rPr>
        <w:t>correct</w:t>
      </w:r>
      <w:proofErr w:type="gramEnd"/>
      <w:r w:rsidRPr="00DA2D85">
        <w:rPr>
          <w:color w:val="262626"/>
          <w:sz w:val="24"/>
          <w:szCs w:val="24"/>
          <w:highlight w:val="white"/>
          <w:lang w:val="en-US"/>
        </w:rPr>
        <w:t xml:space="preserve"> and understandable sentences using demonstrative pronouns and adjectives</w:t>
      </w:r>
      <w:r w:rsidRPr="00DA2D85">
        <w:rPr>
          <w:rFonts w:ascii="Times New Roman" w:eastAsia="Times New Roman" w:hAnsi="Times New Roman" w:cs="Times New Roman"/>
          <w:color w:val="262626"/>
          <w:highlight w:val="white"/>
          <w:lang w:val="en-US"/>
        </w:rPr>
        <w:t>.</w:t>
      </w:r>
    </w:p>
    <w:p w14:paraId="2B5F672D" w14:textId="77777777" w:rsidR="00EE16A4" w:rsidRPr="00DA2D85" w:rsidRDefault="00EE16A4" w:rsidP="00EE16A4">
      <w:pPr>
        <w:ind w:left="10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sz w:val="24"/>
          <w:szCs w:val="24"/>
          <w:lang w:val="en-US"/>
        </w:rPr>
        <w:t>Apply this, that, these and those in their daily lives.</w:t>
      </w:r>
    </w:p>
    <w:p w14:paraId="060601EB" w14:textId="77777777" w:rsidR="00EE16A4" w:rsidRPr="00DA2D85" w:rsidRDefault="00EE16A4" w:rsidP="00EE16A4">
      <w:pPr>
        <w:ind w:left="1000" w:hanging="360"/>
        <w:jc w:val="both"/>
        <w:rPr>
          <w:sz w:val="24"/>
          <w:szCs w:val="24"/>
          <w:lang w:val="en-US"/>
        </w:rPr>
      </w:pPr>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color w:val="262626"/>
          <w:sz w:val="24"/>
          <w:szCs w:val="24"/>
          <w:highlight w:val="white"/>
          <w:lang w:val="en-US"/>
        </w:rPr>
        <w:t>Name local festivals</w:t>
      </w:r>
      <w:r w:rsidRPr="00DA2D85">
        <w:rPr>
          <w:sz w:val="24"/>
          <w:szCs w:val="24"/>
          <w:lang w:val="en-US"/>
        </w:rPr>
        <w:t>-make short sentences</w:t>
      </w:r>
    </w:p>
    <w:p w14:paraId="2F843C4F" w14:textId="77777777" w:rsidR="00EE16A4" w:rsidRPr="00DA2D85" w:rsidRDefault="00EE16A4" w:rsidP="00EE16A4">
      <w:pPr>
        <w:spacing w:before="240"/>
        <w:jc w:val="both"/>
        <w:rPr>
          <w:sz w:val="24"/>
          <w:szCs w:val="24"/>
          <w:lang w:val="en-US"/>
        </w:rPr>
      </w:pPr>
      <w:r w:rsidRPr="00DA2D85">
        <w:rPr>
          <w:sz w:val="24"/>
          <w:szCs w:val="24"/>
          <w:lang w:val="en-US"/>
        </w:rPr>
        <w:t xml:space="preserve"> </w:t>
      </w:r>
    </w:p>
    <w:p w14:paraId="7F0A756B" w14:textId="77777777" w:rsidR="00EE16A4" w:rsidRPr="00DA2D85" w:rsidRDefault="00EE16A4" w:rsidP="00EE16A4">
      <w:pPr>
        <w:spacing w:before="240"/>
        <w:rPr>
          <w:b/>
          <w:sz w:val="24"/>
          <w:szCs w:val="24"/>
          <w:lang w:val="en-US"/>
        </w:rPr>
      </w:pPr>
      <w:r w:rsidRPr="00DA2D85">
        <w:rPr>
          <w:b/>
          <w:sz w:val="24"/>
          <w:szCs w:val="24"/>
          <w:lang w:val="en-US"/>
        </w:rPr>
        <w:t>Class Structure:</w:t>
      </w:r>
    </w:p>
    <w:p w14:paraId="4F477817" w14:textId="77777777" w:rsidR="00EE16A4" w:rsidRPr="00DA2D85" w:rsidRDefault="00EE16A4" w:rsidP="00EE16A4">
      <w:pPr>
        <w:spacing w:before="240"/>
        <w:rPr>
          <w:sz w:val="24"/>
          <w:szCs w:val="24"/>
          <w:highlight w:val="yellow"/>
          <w:lang w:val="en-US"/>
        </w:rPr>
      </w:pPr>
      <w:r w:rsidRPr="00DA2D85">
        <w:rPr>
          <w:sz w:val="24"/>
          <w:szCs w:val="24"/>
          <w:highlight w:val="yellow"/>
          <w:lang w:val="en-US"/>
        </w:rPr>
        <w:t xml:space="preserve"> </w:t>
      </w:r>
    </w:p>
    <w:p w14:paraId="03D6EBB1" w14:textId="77777777" w:rsidR="00EE16A4" w:rsidRPr="00DA2D85" w:rsidRDefault="00EE16A4" w:rsidP="00EE16A4">
      <w:pPr>
        <w:ind w:left="108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u w:val="single"/>
          <w:lang w:val="en-US"/>
        </w:rPr>
        <w:t>Connection with previous knowledge</w:t>
      </w:r>
      <w:r w:rsidRPr="00DA2D85">
        <w:rPr>
          <w:sz w:val="24"/>
          <w:szCs w:val="24"/>
          <w:lang w:val="en-US"/>
        </w:rPr>
        <w:t>(10-15 minutes):</w:t>
      </w:r>
      <w:r w:rsidRPr="00DA2D85">
        <w:rPr>
          <w:color w:val="FF0000"/>
          <w:sz w:val="24"/>
          <w:szCs w:val="24"/>
          <w:lang w:val="en-US"/>
        </w:rPr>
        <w:t xml:space="preserve"> </w:t>
      </w:r>
      <w:r w:rsidRPr="00DA2D85">
        <w:rPr>
          <w:sz w:val="24"/>
          <w:szCs w:val="24"/>
          <w:lang w:val="en-US"/>
        </w:rPr>
        <w:t>Teacher asks students what they remember from the previous lesson (possessive adjectives). Check students’ homework, talk about any difficulties</w:t>
      </w:r>
    </w:p>
    <w:p w14:paraId="671C96E7" w14:textId="77777777" w:rsidR="00EE16A4" w:rsidRPr="00DA2D85" w:rsidRDefault="00EE16A4" w:rsidP="00EE16A4">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Address the topics (45 minutes):</w:t>
      </w:r>
    </w:p>
    <w:p w14:paraId="4ED5FF33"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 xml:space="preserve">Presentation of the new topic: demonstrative adjectives. The teacher gives example sentences, e.g. This is a laptop/That is a TV/These are pens/Those are books. Elicit answers. Explain the use of </w:t>
      </w:r>
      <w:proofErr w:type="spellStart"/>
      <w:r w:rsidRPr="00DA2D85">
        <w:rPr>
          <w:sz w:val="24"/>
          <w:szCs w:val="24"/>
          <w:lang w:val="en-US"/>
        </w:rPr>
        <w:t>demonstartive</w:t>
      </w:r>
      <w:proofErr w:type="spellEnd"/>
      <w:r w:rsidRPr="00DA2D85">
        <w:rPr>
          <w:sz w:val="24"/>
          <w:szCs w:val="24"/>
          <w:lang w:val="en-US"/>
        </w:rPr>
        <w:t xml:space="preserve"> pronouns. Write some example sentences. Encourages students to use their own ideas and state example sentences. </w:t>
      </w:r>
      <w:r>
        <w:rPr>
          <w:sz w:val="24"/>
          <w:szCs w:val="24"/>
        </w:rPr>
        <w:t>Do an exercise together(</w:t>
      </w:r>
      <w:hyperlink r:id="rId4">
        <w:r>
          <w:rPr>
            <w:color w:val="1155CC"/>
            <w:sz w:val="24"/>
            <w:szCs w:val="24"/>
            <w:u w:val="single"/>
          </w:rPr>
          <w:t>https://www.allthingsgrammar.com/uploads/2/3/2/9/23290220/atg-worksheet-thisthatthesethose.pdf</w:t>
        </w:r>
      </w:hyperlink>
      <w:r>
        <w:rPr>
          <w:sz w:val="24"/>
          <w:szCs w:val="24"/>
        </w:rPr>
        <w:t xml:space="preserve">). </w:t>
      </w:r>
      <w:r w:rsidRPr="00DA2D85">
        <w:rPr>
          <w:sz w:val="24"/>
          <w:szCs w:val="24"/>
          <w:lang w:val="en-US"/>
        </w:rPr>
        <w:t xml:space="preserve">They each show some personal things and say: This/That is my book/pencil/laptop/These/Those are my </w:t>
      </w:r>
      <w:r w:rsidRPr="00DA2D85">
        <w:rPr>
          <w:sz w:val="24"/>
          <w:szCs w:val="24"/>
          <w:lang w:val="en-US"/>
        </w:rPr>
        <w:lastRenderedPageBreak/>
        <w:t xml:space="preserve">pens/pencils. The teacher may need to remind or tell students about how to form plural nouns.  </w:t>
      </w:r>
    </w:p>
    <w:p w14:paraId="02AC14DB"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Talk about festivals in general and then festivals in Santorini. Name some or write them down. Brainstorming, students exchange ideas.</w:t>
      </w:r>
    </w:p>
    <w:p w14:paraId="1EA8DA6C" w14:textId="77777777" w:rsidR="00EE16A4" w:rsidRPr="00DA2D85" w:rsidRDefault="00EE16A4" w:rsidP="00EE16A4">
      <w:pPr>
        <w:ind w:left="1080"/>
        <w:jc w:val="both"/>
        <w:rPr>
          <w:sz w:val="24"/>
          <w:szCs w:val="24"/>
          <w:lang w:val="en-US"/>
        </w:rPr>
      </w:pPr>
      <w:r w:rsidRPr="00DA2D85">
        <w:rPr>
          <w:sz w:val="24"/>
          <w:szCs w:val="24"/>
          <w:lang w:val="en-US"/>
        </w:rPr>
        <w:t xml:space="preserve"> </w:t>
      </w:r>
    </w:p>
    <w:p w14:paraId="4ED011F1" w14:textId="77777777" w:rsidR="00EE16A4" w:rsidRPr="00DA2D85" w:rsidRDefault="00EE16A4" w:rsidP="00EE16A4">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Practical Activities (45 minutes):</w:t>
      </w:r>
    </w:p>
    <w:p w14:paraId="1F4D1794" w14:textId="77777777" w:rsidR="00EE16A4" w:rsidRPr="00DA2D85" w:rsidRDefault="00EE16A4" w:rsidP="00EE16A4">
      <w:pPr>
        <w:spacing w:before="240"/>
        <w:rPr>
          <w:sz w:val="24"/>
          <w:szCs w:val="24"/>
          <w:lang w:val="en-US"/>
        </w:rPr>
      </w:pPr>
      <w:r w:rsidRPr="00DA2D85">
        <w:rPr>
          <w:sz w:val="24"/>
          <w:szCs w:val="24"/>
          <w:lang w:val="en-US"/>
        </w:rPr>
        <w:t xml:space="preserve"> </w:t>
      </w:r>
    </w:p>
    <w:p w14:paraId="6B8E581D" w14:textId="77777777" w:rsidR="00EE16A4" w:rsidRPr="00DA2D85" w:rsidRDefault="00EE16A4" w:rsidP="00EE16A4">
      <w:pPr>
        <w:spacing w:before="240"/>
        <w:ind w:left="360"/>
        <w:jc w:val="both"/>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b/>
          <w:sz w:val="24"/>
          <w:szCs w:val="24"/>
          <w:lang w:val="en-US"/>
        </w:rPr>
        <w:t>Role-Playing Activity</w:t>
      </w:r>
      <w:r w:rsidRPr="00DA2D85">
        <w:rPr>
          <w:sz w:val="24"/>
          <w:szCs w:val="24"/>
          <w:lang w:val="en-US"/>
        </w:rPr>
        <w:t>: The teacher should divide the class into groups of 4 or 5 students. Each group will receive a different situation to simulate. For example, one group may be tasked with simulating a situation in a restaurant, another group may simulate a situation in a clothing store, and so on. Each group should prepare a short dialogue in English involving the use of demonstrative pronouns and adjectives. The dialogue should include questions and answers using demonstrative pronouns and adjectives to indicate the location of something. After some preparation time, each group should present their dialogue to the class. The teacher should observe and correct any errors in the use of demonstrative pronouns and adjectives. (20 - 25 minutes)</w:t>
      </w:r>
    </w:p>
    <w:p w14:paraId="4ED73816" w14:textId="77777777" w:rsidR="00EE16A4" w:rsidRPr="00DA2D85" w:rsidRDefault="00EE16A4" w:rsidP="00EE16A4">
      <w:pPr>
        <w:spacing w:before="240" w:after="240"/>
        <w:ind w:left="360"/>
        <w:rPr>
          <w:sz w:val="24"/>
          <w:szCs w:val="24"/>
          <w:lang w:val="en-US"/>
        </w:rPr>
      </w:pPr>
      <w:r w:rsidRPr="00DA2D85">
        <w:rPr>
          <w:rFonts w:ascii="Courier New" w:eastAsia="Courier New" w:hAnsi="Courier New" w:cs="Courier New"/>
          <w:sz w:val="24"/>
          <w:szCs w:val="24"/>
          <w:lang w:val="en-US"/>
        </w:rPr>
        <w:t>o</w:t>
      </w:r>
      <w:r w:rsidRPr="00DA2D85">
        <w:rPr>
          <w:rFonts w:ascii="Times New Roman" w:eastAsia="Times New Roman" w:hAnsi="Times New Roman" w:cs="Times New Roman"/>
          <w:sz w:val="14"/>
          <w:szCs w:val="14"/>
          <w:lang w:val="en-US"/>
        </w:rPr>
        <w:t xml:space="preserve">   </w:t>
      </w:r>
      <w:r w:rsidRPr="00DA2D85">
        <w:rPr>
          <w:sz w:val="24"/>
          <w:szCs w:val="24"/>
          <w:lang w:val="en-US"/>
        </w:rPr>
        <w:t>Each student shares one sentence about a festival (e.g., “In my town, we have...”). (20 min)</w:t>
      </w:r>
    </w:p>
    <w:p w14:paraId="318F7F08" w14:textId="77777777" w:rsidR="00EE16A4" w:rsidRPr="00DA2D85" w:rsidRDefault="00EE16A4" w:rsidP="00EE16A4">
      <w:pPr>
        <w:spacing w:before="240"/>
        <w:rPr>
          <w:sz w:val="24"/>
          <w:szCs w:val="24"/>
          <w:lang w:val="en-US"/>
        </w:rPr>
      </w:pPr>
      <w:r w:rsidRPr="00DA2D85">
        <w:rPr>
          <w:sz w:val="24"/>
          <w:szCs w:val="24"/>
          <w:lang w:val="en-US"/>
        </w:rPr>
        <w:t xml:space="preserve"> </w:t>
      </w:r>
    </w:p>
    <w:p w14:paraId="690923FB" w14:textId="77777777" w:rsidR="00EE16A4" w:rsidRPr="00DA2D85" w:rsidRDefault="00EE16A4" w:rsidP="00EE16A4">
      <w:pPr>
        <w:spacing w:before="240"/>
        <w:rPr>
          <w:sz w:val="24"/>
          <w:szCs w:val="24"/>
          <w:lang w:val="en-US"/>
        </w:rPr>
      </w:pPr>
      <w:r w:rsidRPr="00DA2D85">
        <w:rPr>
          <w:sz w:val="24"/>
          <w:szCs w:val="24"/>
          <w:lang w:val="en-US"/>
        </w:rPr>
        <w:t xml:space="preserve"> </w:t>
      </w:r>
    </w:p>
    <w:p w14:paraId="1EB6385D" w14:textId="77777777" w:rsidR="00EE16A4" w:rsidRPr="00DA2D85" w:rsidRDefault="00EE16A4" w:rsidP="00EE16A4">
      <w:pPr>
        <w:ind w:left="1080" w:hanging="360"/>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Conclusion/Evaluation (15 minutes):</w:t>
      </w:r>
    </w:p>
    <w:p w14:paraId="4F9D1C01"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The teacher should briefly review the main points of the lesson, highlighting the most important concepts and clarifying any remaining doubts. Show a video</w:t>
      </w:r>
      <w:proofErr w:type="gramStart"/>
      <w:r w:rsidRPr="00DA2D85">
        <w:rPr>
          <w:sz w:val="24"/>
          <w:szCs w:val="24"/>
          <w:lang w:val="en-US"/>
        </w:rPr>
        <w:t>:  (</w:t>
      </w:r>
      <w:proofErr w:type="gramEnd"/>
      <w:r w:rsidRPr="00DA2D85">
        <w:rPr>
          <w:sz w:val="24"/>
          <w:szCs w:val="24"/>
          <w:lang w:val="en-US"/>
        </w:rPr>
        <w:t>https://youtu.be/GIbD5seHH-E)</w:t>
      </w:r>
    </w:p>
    <w:p w14:paraId="5948327F"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Assess learning about demonstrative pronouns: Online exercises done separately. (e.g.</w:t>
      </w:r>
      <w:hyperlink r:id="rId5">
        <w:r w:rsidRPr="00DA2D85">
          <w:rPr>
            <w:sz w:val="24"/>
            <w:szCs w:val="24"/>
            <w:lang w:val="en-US"/>
          </w:rPr>
          <w:t xml:space="preserve"> </w:t>
        </w:r>
      </w:hyperlink>
      <w:hyperlink r:id="rId6">
        <w:r w:rsidRPr="00DA2D85">
          <w:rPr>
            <w:color w:val="1155CC"/>
            <w:sz w:val="24"/>
            <w:szCs w:val="24"/>
            <w:u w:val="single"/>
            <w:lang w:val="en-US"/>
          </w:rPr>
          <w:t>https://wordwall.net/resource/16109984/demonstrative-pronouns</w:t>
        </w:r>
      </w:hyperlink>
      <w:r w:rsidRPr="00DA2D85">
        <w:rPr>
          <w:sz w:val="24"/>
          <w:szCs w:val="24"/>
          <w:lang w:val="en-US"/>
        </w:rPr>
        <w:t>). Check in class.</w:t>
      </w:r>
    </w:p>
    <w:p w14:paraId="41C60DB3"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Summarize the local festivals-make short sentences</w:t>
      </w:r>
    </w:p>
    <w:p w14:paraId="66086484" w14:textId="77777777" w:rsidR="00EE16A4" w:rsidRPr="00DA2D85" w:rsidRDefault="00EE16A4" w:rsidP="00EE16A4">
      <w:pPr>
        <w:ind w:left="1440" w:hanging="360"/>
        <w:jc w:val="both"/>
        <w:rPr>
          <w:sz w:val="24"/>
          <w:szCs w:val="24"/>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Assign homework</w:t>
      </w:r>
    </w:p>
    <w:p w14:paraId="6B0509A5" w14:textId="77777777" w:rsidR="00EE16A4" w:rsidRPr="00DA2D85" w:rsidRDefault="00EE16A4" w:rsidP="00EE16A4">
      <w:pPr>
        <w:spacing w:before="240" w:after="240"/>
        <w:rPr>
          <w:sz w:val="24"/>
          <w:szCs w:val="24"/>
          <w:lang w:val="en-US"/>
        </w:rPr>
      </w:pPr>
      <w:r w:rsidRPr="00DA2D85">
        <w:rPr>
          <w:sz w:val="24"/>
          <w:szCs w:val="24"/>
          <w:lang w:val="en-US"/>
        </w:rPr>
        <w:t xml:space="preserve"> </w:t>
      </w:r>
    </w:p>
    <w:p w14:paraId="3B4FFC26" w14:textId="77777777" w:rsidR="00EE16A4" w:rsidRPr="00DA2D85" w:rsidRDefault="00EE16A4" w:rsidP="00EE16A4">
      <w:pPr>
        <w:spacing w:before="240"/>
        <w:rPr>
          <w:b/>
          <w:sz w:val="24"/>
          <w:szCs w:val="24"/>
          <w:lang w:val="en-US"/>
        </w:rPr>
      </w:pPr>
      <w:r w:rsidRPr="00DA2D85">
        <w:rPr>
          <w:b/>
          <w:sz w:val="24"/>
          <w:szCs w:val="24"/>
          <w:lang w:val="en-US"/>
        </w:rPr>
        <w:t>Materials needed:</w:t>
      </w:r>
    </w:p>
    <w:p w14:paraId="4CF636D2" w14:textId="1470F43F" w:rsidR="00ED2A11" w:rsidRPr="00EE16A4" w:rsidRDefault="00EE16A4" w:rsidP="00EE16A4">
      <w:pPr>
        <w:ind w:left="1080" w:hanging="360"/>
        <w:rPr>
          <w:lang w:val="en-US"/>
        </w:rPr>
      </w:pPr>
      <w:proofErr w:type="gramStart"/>
      <w:r w:rsidRPr="00DA2D85">
        <w:rPr>
          <w:sz w:val="24"/>
          <w:szCs w:val="24"/>
          <w:lang w:val="en-US"/>
        </w:rPr>
        <w:t>●</w:t>
      </w:r>
      <w:r w:rsidRPr="00DA2D85">
        <w:rPr>
          <w:rFonts w:ascii="Times New Roman" w:eastAsia="Times New Roman" w:hAnsi="Times New Roman" w:cs="Times New Roman"/>
          <w:sz w:val="14"/>
          <w:szCs w:val="14"/>
          <w:lang w:val="en-US"/>
        </w:rPr>
        <w:t xml:space="preserve">  </w:t>
      </w:r>
      <w:r w:rsidRPr="00DA2D85">
        <w:rPr>
          <w:rFonts w:ascii="Times New Roman" w:eastAsia="Times New Roman" w:hAnsi="Times New Roman" w:cs="Times New Roman"/>
          <w:sz w:val="14"/>
          <w:szCs w:val="14"/>
          <w:lang w:val="en-US"/>
        </w:rPr>
        <w:tab/>
      </w:r>
      <w:proofErr w:type="gramEnd"/>
      <w:r w:rsidRPr="00DA2D85">
        <w:rPr>
          <w:sz w:val="24"/>
          <w:szCs w:val="24"/>
          <w:lang w:val="en-US"/>
        </w:rPr>
        <w:t>paper and pen</w:t>
      </w:r>
    </w:p>
    <w:sectPr w:rsidR="00ED2A11" w:rsidRPr="00EE1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A4"/>
    <w:rsid w:val="00146C74"/>
    <w:rsid w:val="002D671F"/>
    <w:rsid w:val="00ED2A11"/>
    <w:rsid w:val="00EE16A4"/>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3EC6"/>
  <w15:chartTrackingRefBased/>
  <w15:docId w15:val="{B4867615-105F-434C-825C-59E5832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A4"/>
    <w:pPr>
      <w:spacing w:after="0" w:line="276" w:lineRule="auto"/>
    </w:pPr>
    <w:rPr>
      <w:rFonts w:ascii="Arial" w:eastAsia="Arial" w:hAnsi="Arial" w:cs="Arial"/>
      <w:kern w:val="0"/>
      <w:lang w:val="pt-PT"/>
      <w14:ligatures w14:val="none"/>
    </w:rPr>
  </w:style>
  <w:style w:type="paragraph" w:styleId="Heading1">
    <w:name w:val="heading 1"/>
    <w:basedOn w:val="Normal"/>
    <w:next w:val="Normal"/>
    <w:link w:val="Heading1Char"/>
    <w:uiPriority w:val="9"/>
    <w:qFormat/>
    <w:rsid w:val="00EE16A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E16A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EE16A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E16A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E16A4"/>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E16A4"/>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E16A4"/>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E16A4"/>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E16A4"/>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6A4"/>
    <w:rPr>
      <w:rFonts w:eastAsiaTheme="majorEastAsia" w:cstheme="majorBidi"/>
      <w:color w:val="272727" w:themeColor="text1" w:themeTint="D8"/>
    </w:rPr>
  </w:style>
  <w:style w:type="paragraph" w:styleId="Title">
    <w:name w:val="Title"/>
    <w:basedOn w:val="Normal"/>
    <w:next w:val="Normal"/>
    <w:link w:val="TitleChar"/>
    <w:uiPriority w:val="10"/>
    <w:qFormat/>
    <w:rsid w:val="00EE16A4"/>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E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6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E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6A4"/>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E16A4"/>
    <w:rPr>
      <w:i/>
      <w:iCs/>
      <w:color w:val="404040" w:themeColor="text1" w:themeTint="BF"/>
    </w:rPr>
  </w:style>
  <w:style w:type="paragraph" w:styleId="ListParagraph">
    <w:name w:val="List Paragraph"/>
    <w:basedOn w:val="Normal"/>
    <w:uiPriority w:val="34"/>
    <w:qFormat/>
    <w:rsid w:val="00EE16A4"/>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EE16A4"/>
    <w:rPr>
      <w:i/>
      <w:iCs/>
      <w:color w:val="0F4761" w:themeColor="accent1" w:themeShade="BF"/>
    </w:rPr>
  </w:style>
  <w:style w:type="paragraph" w:styleId="IntenseQuote">
    <w:name w:val="Intense Quote"/>
    <w:basedOn w:val="Normal"/>
    <w:next w:val="Normal"/>
    <w:link w:val="IntenseQuoteChar"/>
    <w:uiPriority w:val="30"/>
    <w:qFormat/>
    <w:rsid w:val="00EE16A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E16A4"/>
    <w:rPr>
      <w:i/>
      <w:iCs/>
      <w:color w:val="0F4761" w:themeColor="accent1" w:themeShade="BF"/>
    </w:rPr>
  </w:style>
  <w:style w:type="character" w:styleId="IntenseReference">
    <w:name w:val="Intense Reference"/>
    <w:basedOn w:val="DefaultParagraphFont"/>
    <w:uiPriority w:val="32"/>
    <w:qFormat/>
    <w:rsid w:val="00EE16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wall.net/resource/16109984/demonstrative-pronouns" TargetMode="External"/><Relationship Id="rId5" Type="http://schemas.openxmlformats.org/officeDocument/2006/relationships/hyperlink" Target="https://wordwall.net/resource/16109984/demonstrative-pronouns" TargetMode="External"/><Relationship Id="rId4" Type="http://schemas.openxmlformats.org/officeDocument/2006/relationships/hyperlink" Target="https://www.allthingsgrammar.com/uploads/2/3/2/9/23290220/atg-worksheet-thisthatthesetho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2025-02-22T21:05:00Z</dcterms:created>
  <dcterms:modified xsi:type="dcterms:W3CDTF">2025-02-22T21:06:00Z</dcterms:modified>
</cp:coreProperties>
</file>